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1F1AA6" w:rsidRPr="001F1AA6" w:rsidTr="001F1AA6">
        <w:trPr>
          <w:tblCellSpacing w:w="0" w:type="dxa"/>
        </w:trPr>
        <w:tc>
          <w:tcPr>
            <w:tcW w:w="500" w:type="pct"/>
            <w:hideMark/>
          </w:tcPr>
          <w:p w:rsidR="001F1AA6" w:rsidRPr="001F1AA6" w:rsidRDefault="001F1AA6" w:rsidP="001F1AA6">
            <w:pPr>
              <w:widowControl/>
              <w:spacing w:line="375" w:lineRule="atLeast"/>
              <w:jc w:val="left"/>
              <w:rPr>
                <w:rFonts w:ascii="宋体" w:eastAsia="宋体" w:hAnsi="宋体" w:cs="宋体"/>
                <w:b/>
                <w:bCs/>
                <w:color w:val="4B4B4B"/>
                <w:kern w:val="0"/>
                <w:szCs w:val="21"/>
              </w:rPr>
            </w:pPr>
            <w:r w:rsidRPr="001F1AA6">
              <w:rPr>
                <w:rFonts w:ascii="宋体" w:eastAsia="宋体" w:hAnsi="宋体" w:cs="宋体" w:hint="eastAsia"/>
                <w:b/>
                <w:bCs/>
                <w:color w:val="4B4B4B"/>
                <w:kern w:val="0"/>
                <w:szCs w:val="21"/>
              </w:rPr>
              <w:t>信息名称：</w:t>
            </w:r>
          </w:p>
        </w:tc>
        <w:tc>
          <w:tcPr>
            <w:tcW w:w="0" w:type="auto"/>
            <w:gridSpan w:val="5"/>
            <w:hideMark/>
          </w:tcPr>
          <w:p w:rsidR="001F1AA6" w:rsidRPr="001F1AA6" w:rsidRDefault="001F1AA6" w:rsidP="001F1AA6">
            <w:pPr>
              <w:widowControl/>
              <w:spacing w:line="375" w:lineRule="atLeast"/>
              <w:jc w:val="left"/>
              <w:rPr>
                <w:rFonts w:ascii="宋体" w:eastAsia="宋体" w:hAnsi="宋体" w:cs="宋体"/>
                <w:color w:val="4B4B4B"/>
                <w:kern w:val="0"/>
                <w:szCs w:val="21"/>
              </w:rPr>
            </w:pPr>
            <w:r w:rsidRPr="001F1AA6">
              <w:rPr>
                <w:rFonts w:ascii="宋体" w:eastAsia="宋体" w:hAnsi="宋体" w:cs="宋体" w:hint="eastAsia"/>
                <w:color w:val="4B4B4B"/>
                <w:kern w:val="0"/>
                <w:szCs w:val="21"/>
              </w:rPr>
              <w:t>教育部办公厅关于实施一流本科专业建设“双万计划”的通知</w:t>
            </w:r>
          </w:p>
        </w:tc>
      </w:tr>
      <w:tr w:rsidR="001F1AA6" w:rsidRPr="001F1AA6" w:rsidTr="001F1AA6">
        <w:trPr>
          <w:tblCellSpacing w:w="0" w:type="dxa"/>
        </w:trPr>
        <w:tc>
          <w:tcPr>
            <w:tcW w:w="500" w:type="pct"/>
            <w:hideMark/>
          </w:tcPr>
          <w:p w:rsidR="001F1AA6" w:rsidRPr="001F1AA6" w:rsidRDefault="001F1AA6" w:rsidP="001F1AA6">
            <w:pPr>
              <w:widowControl/>
              <w:spacing w:line="375" w:lineRule="atLeast"/>
              <w:jc w:val="left"/>
              <w:rPr>
                <w:rFonts w:ascii="宋体" w:eastAsia="宋体" w:hAnsi="宋体" w:cs="宋体"/>
                <w:b/>
                <w:bCs/>
                <w:color w:val="4B4B4B"/>
                <w:kern w:val="0"/>
                <w:szCs w:val="21"/>
              </w:rPr>
            </w:pPr>
            <w:r w:rsidRPr="001F1AA6">
              <w:rPr>
                <w:rFonts w:ascii="宋体" w:eastAsia="宋体" w:hAnsi="宋体" w:cs="宋体" w:hint="eastAsia"/>
                <w:b/>
                <w:bCs/>
                <w:color w:val="4B4B4B"/>
                <w:kern w:val="0"/>
                <w:szCs w:val="21"/>
              </w:rPr>
              <w:t>信息索引：</w:t>
            </w:r>
          </w:p>
        </w:tc>
        <w:tc>
          <w:tcPr>
            <w:tcW w:w="1000" w:type="pct"/>
            <w:hideMark/>
          </w:tcPr>
          <w:p w:rsidR="001F1AA6" w:rsidRPr="001F1AA6" w:rsidRDefault="001F1AA6" w:rsidP="001F1AA6">
            <w:pPr>
              <w:widowControl/>
              <w:spacing w:line="375" w:lineRule="atLeast"/>
              <w:jc w:val="left"/>
              <w:rPr>
                <w:rFonts w:ascii="宋体" w:eastAsia="宋体" w:hAnsi="宋体" w:cs="宋体"/>
                <w:color w:val="4B4B4B"/>
                <w:kern w:val="0"/>
                <w:szCs w:val="21"/>
              </w:rPr>
            </w:pPr>
            <w:r w:rsidRPr="001F1AA6">
              <w:rPr>
                <w:rFonts w:ascii="宋体" w:eastAsia="宋体" w:hAnsi="宋体" w:cs="宋体" w:hint="eastAsia"/>
                <w:color w:val="4B4B4B"/>
                <w:kern w:val="0"/>
                <w:szCs w:val="21"/>
              </w:rPr>
              <w:t>360A08-07-2019-0014-1</w:t>
            </w:r>
          </w:p>
        </w:tc>
        <w:tc>
          <w:tcPr>
            <w:tcW w:w="500" w:type="pct"/>
            <w:hideMark/>
          </w:tcPr>
          <w:p w:rsidR="001F1AA6" w:rsidRPr="001F1AA6" w:rsidRDefault="001F1AA6" w:rsidP="001F1AA6">
            <w:pPr>
              <w:widowControl/>
              <w:spacing w:line="375" w:lineRule="atLeast"/>
              <w:jc w:val="left"/>
              <w:rPr>
                <w:rFonts w:ascii="宋体" w:eastAsia="宋体" w:hAnsi="宋体" w:cs="宋体"/>
                <w:b/>
                <w:bCs/>
                <w:color w:val="4B4B4B"/>
                <w:kern w:val="0"/>
                <w:szCs w:val="21"/>
              </w:rPr>
            </w:pPr>
            <w:r w:rsidRPr="001F1AA6">
              <w:rPr>
                <w:rFonts w:ascii="宋体" w:eastAsia="宋体" w:hAnsi="宋体" w:cs="宋体" w:hint="eastAsia"/>
                <w:b/>
                <w:bCs/>
                <w:color w:val="4B4B4B"/>
                <w:kern w:val="0"/>
                <w:szCs w:val="21"/>
              </w:rPr>
              <w:t>生成日期：</w:t>
            </w:r>
          </w:p>
        </w:tc>
        <w:tc>
          <w:tcPr>
            <w:tcW w:w="1050" w:type="pct"/>
            <w:hideMark/>
          </w:tcPr>
          <w:p w:rsidR="001F1AA6" w:rsidRPr="001F1AA6" w:rsidRDefault="001F1AA6" w:rsidP="001F1AA6">
            <w:pPr>
              <w:widowControl/>
              <w:spacing w:line="375" w:lineRule="atLeast"/>
              <w:jc w:val="left"/>
              <w:rPr>
                <w:rFonts w:ascii="宋体" w:eastAsia="宋体" w:hAnsi="宋体" w:cs="宋体"/>
                <w:color w:val="4B4B4B"/>
                <w:kern w:val="0"/>
                <w:szCs w:val="21"/>
              </w:rPr>
            </w:pPr>
            <w:r w:rsidRPr="001F1AA6">
              <w:rPr>
                <w:rFonts w:ascii="宋体" w:eastAsia="宋体" w:hAnsi="宋体" w:cs="宋体" w:hint="eastAsia"/>
                <w:color w:val="4B4B4B"/>
                <w:kern w:val="0"/>
                <w:szCs w:val="21"/>
              </w:rPr>
              <w:t>2019-04-04</w:t>
            </w:r>
          </w:p>
        </w:tc>
        <w:tc>
          <w:tcPr>
            <w:tcW w:w="500" w:type="pct"/>
            <w:hideMark/>
          </w:tcPr>
          <w:p w:rsidR="001F1AA6" w:rsidRPr="001F1AA6" w:rsidRDefault="001F1AA6" w:rsidP="001F1AA6">
            <w:pPr>
              <w:widowControl/>
              <w:spacing w:line="375" w:lineRule="atLeast"/>
              <w:jc w:val="left"/>
              <w:rPr>
                <w:rFonts w:ascii="宋体" w:eastAsia="宋体" w:hAnsi="宋体" w:cs="宋体"/>
                <w:b/>
                <w:bCs/>
                <w:color w:val="4B4B4B"/>
                <w:kern w:val="0"/>
                <w:szCs w:val="21"/>
              </w:rPr>
            </w:pPr>
            <w:r w:rsidRPr="001F1AA6">
              <w:rPr>
                <w:rFonts w:ascii="宋体" w:eastAsia="宋体" w:hAnsi="宋体" w:cs="宋体" w:hint="eastAsia"/>
                <w:b/>
                <w:bCs/>
                <w:color w:val="4B4B4B"/>
                <w:kern w:val="0"/>
                <w:szCs w:val="21"/>
              </w:rPr>
              <w:t>发文机构：</w:t>
            </w:r>
          </w:p>
        </w:tc>
        <w:tc>
          <w:tcPr>
            <w:tcW w:w="1700" w:type="pct"/>
            <w:hideMark/>
          </w:tcPr>
          <w:p w:rsidR="001F1AA6" w:rsidRPr="001F1AA6" w:rsidRDefault="001F1AA6" w:rsidP="001F1AA6">
            <w:pPr>
              <w:widowControl/>
              <w:spacing w:line="375" w:lineRule="atLeast"/>
              <w:jc w:val="left"/>
              <w:rPr>
                <w:rFonts w:ascii="宋体" w:eastAsia="宋体" w:hAnsi="宋体" w:cs="宋体"/>
                <w:color w:val="4B4B4B"/>
                <w:kern w:val="0"/>
                <w:szCs w:val="21"/>
              </w:rPr>
            </w:pPr>
            <w:r w:rsidRPr="001F1AA6">
              <w:rPr>
                <w:rFonts w:ascii="宋体" w:eastAsia="宋体" w:hAnsi="宋体" w:cs="宋体" w:hint="eastAsia"/>
                <w:color w:val="4B4B4B"/>
                <w:kern w:val="0"/>
                <w:szCs w:val="21"/>
              </w:rPr>
              <w:t>教育部办公厅</w:t>
            </w:r>
          </w:p>
        </w:tc>
      </w:tr>
      <w:tr w:rsidR="001F1AA6" w:rsidRPr="001F1AA6" w:rsidTr="001F1AA6">
        <w:trPr>
          <w:tblCellSpacing w:w="0" w:type="dxa"/>
        </w:trPr>
        <w:tc>
          <w:tcPr>
            <w:tcW w:w="500" w:type="pct"/>
            <w:hideMark/>
          </w:tcPr>
          <w:p w:rsidR="001F1AA6" w:rsidRPr="001F1AA6" w:rsidRDefault="001F1AA6" w:rsidP="001F1AA6">
            <w:pPr>
              <w:widowControl/>
              <w:spacing w:line="375" w:lineRule="atLeast"/>
              <w:jc w:val="left"/>
              <w:rPr>
                <w:rFonts w:ascii="宋体" w:eastAsia="宋体" w:hAnsi="宋体" w:cs="宋体"/>
                <w:b/>
                <w:bCs/>
                <w:color w:val="4B4B4B"/>
                <w:kern w:val="0"/>
                <w:szCs w:val="21"/>
              </w:rPr>
            </w:pPr>
            <w:r w:rsidRPr="001F1AA6">
              <w:rPr>
                <w:rFonts w:ascii="宋体" w:eastAsia="宋体" w:hAnsi="宋体" w:cs="宋体" w:hint="eastAsia"/>
                <w:b/>
                <w:bCs/>
                <w:color w:val="4B4B4B"/>
                <w:kern w:val="0"/>
                <w:szCs w:val="21"/>
              </w:rPr>
              <w:t>发文字号：</w:t>
            </w:r>
          </w:p>
        </w:tc>
        <w:tc>
          <w:tcPr>
            <w:tcW w:w="0" w:type="auto"/>
            <w:hideMark/>
          </w:tcPr>
          <w:p w:rsidR="001F1AA6" w:rsidRPr="001F1AA6" w:rsidRDefault="001F1AA6" w:rsidP="001F1AA6">
            <w:pPr>
              <w:widowControl/>
              <w:spacing w:line="375" w:lineRule="atLeast"/>
              <w:jc w:val="left"/>
              <w:rPr>
                <w:rFonts w:ascii="宋体" w:eastAsia="宋体" w:hAnsi="宋体" w:cs="宋体"/>
                <w:color w:val="4B4B4B"/>
                <w:kern w:val="0"/>
                <w:szCs w:val="21"/>
              </w:rPr>
            </w:pPr>
            <w:proofErr w:type="gramStart"/>
            <w:r w:rsidRPr="001F1AA6">
              <w:rPr>
                <w:rFonts w:ascii="宋体" w:eastAsia="宋体" w:hAnsi="宋体" w:cs="宋体" w:hint="eastAsia"/>
                <w:color w:val="4B4B4B"/>
                <w:kern w:val="0"/>
                <w:szCs w:val="21"/>
              </w:rPr>
              <w:t>教高厅函</w:t>
            </w:r>
            <w:proofErr w:type="gramEnd"/>
            <w:r w:rsidRPr="001F1AA6">
              <w:rPr>
                <w:rFonts w:ascii="宋体" w:eastAsia="宋体" w:hAnsi="宋体" w:cs="宋体" w:hint="eastAsia"/>
                <w:color w:val="4B4B4B"/>
                <w:kern w:val="0"/>
                <w:szCs w:val="21"/>
              </w:rPr>
              <w:t>〔2019〕18号</w:t>
            </w:r>
          </w:p>
        </w:tc>
        <w:tc>
          <w:tcPr>
            <w:tcW w:w="500" w:type="pct"/>
            <w:hideMark/>
          </w:tcPr>
          <w:p w:rsidR="001F1AA6" w:rsidRPr="001F1AA6" w:rsidRDefault="001F1AA6" w:rsidP="001F1AA6">
            <w:pPr>
              <w:widowControl/>
              <w:spacing w:line="375" w:lineRule="atLeast"/>
              <w:jc w:val="left"/>
              <w:rPr>
                <w:rFonts w:ascii="宋体" w:eastAsia="宋体" w:hAnsi="宋体" w:cs="宋体"/>
                <w:b/>
                <w:bCs/>
                <w:color w:val="4B4B4B"/>
                <w:kern w:val="0"/>
                <w:szCs w:val="21"/>
              </w:rPr>
            </w:pPr>
            <w:r w:rsidRPr="001F1AA6">
              <w:rPr>
                <w:rFonts w:ascii="宋体" w:eastAsia="宋体" w:hAnsi="宋体" w:cs="宋体" w:hint="eastAsia"/>
                <w:b/>
                <w:bCs/>
                <w:color w:val="4B4B4B"/>
                <w:kern w:val="0"/>
                <w:szCs w:val="21"/>
              </w:rPr>
              <w:t>信息类别：</w:t>
            </w:r>
          </w:p>
        </w:tc>
        <w:tc>
          <w:tcPr>
            <w:tcW w:w="0" w:type="auto"/>
            <w:gridSpan w:val="3"/>
            <w:hideMark/>
          </w:tcPr>
          <w:p w:rsidR="001F1AA6" w:rsidRPr="001F1AA6" w:rsidRDefault="001F1AA6" w:rsidP="001F1AA6">
            <w:pPr>
              <w:widowControl/>
              <w:spacing w:line="375" w:lineRule="atLeast"/>
              <w:jc w:val="left"/>
              <w:rPr>
                <w:rFonts w:ascii="宋体" w:eastAsia="宋体" w:hAnsi="宋体" w:cs="宋体"/>
                <w:color w:val="4B4B4B"/>
                <w:kern w:val="0"/>
                <w:szCs w:val="21"/>
              </w:rPr>
            </w:pPr>
            <w:r w:rsidRPr="001F1AA6">
              <w:rPr>
                <w:rFonts w:ascii="宋体" w:eastAsia="宋体" w:hAnsi="宋体" w:cs="宋体" w:hint="eastAsia"/>
                <w:color w:val="4B4B4B"/>
                <w:kern w:val="0"/>
                <w:szCs w:val="21"/>
              </w:rPr>
              <w:t>高等教育</w:t>
            </w:r>
          </w:p>
        </w:tc>
      </w:tr>
      <w:tr w:rsidR="001F1AA6" w:rsidRPr="001F1AA6" w:rsidTr="001F1AA6">
        <w:trPr>
          <w:tblCellSpacing w:w="0" w:type="dxa"/>
        </w:trPr>
        <w:tc>
          <w:tcPr>
            <w:tcW w:w="500" w:type="pct"/>
            <w:hideMark/>
          </w:tcPr>
          <w:p w:rsidR="001F1AA6" w:rsidRPr="001F1AA6" w:rsidRDefault="001F1AA6" w:rsidP="001F1AA6">
            <w:pPr>
              <w:widowControl/>
              <w:spacing w:line="375" w:lineRule="atLeast"/>
              <w:jc w:val="left"/>
              <w:rPr>
                <w:rFonts w:ascii="宋体" w:eastAsia="宋体" w:hAnsi="宋体" w:cs="宋体"/>
                <w:b/>
                <w:bCs/>
                <w:color w:val="4B4B4B"/>
                <w:kern w:val="0"/>
                <w:szCs w:val="21"/>
              </w:rPr>
            </w:pPr>
            <w:r w:rsidRPr="001F1AA6">
              <w:rPr>
                <w:rFonts w:ascii="宋体" w:eastAsia="宋体" w:hAnsi="宋体" w:cs="宋体" w:hint="eastAsia"/>
                <w:b/>
                <w:bCs/>
                <w:color w:val="4B4B4B"/>
                <w:kern w:val="0"/>
                <w:szCs w:val="21"/>
              </w:rPr>
              <w:t>内容概述：</w:t>
            </w:r>
          </w:p>
        </w:tc>
        <w:tc>
          <w:tcPr>
            <w:tcW w:w="0" w:type="auto"/>
            <w:gridSpan w:val="5"/>
            <w:hideMark/>
          </w:tcPr>
          <w:p w:rsidR="001F1AA6" w:rsidRPr="001F1AA6" w:rsidRDefault="001F1AA6" w:rsidP="001F1AA6">
            <w:pPr>
              <w:widowControl/>
              <w:spacing w:line="375" w:lineRule="atLeast"/>
              <w:jc w:val="left"/>
              <w:rPr>
                <w:rFonts w:ascii="宋体" w:eastAsia="宋体" w:hAnsi="宋体" w:cs="宋体"/>
                <w:color w:val="4B4B4B"/>
                <w:kern w:val="0"/>
                <w:szCs w:val="21"/>
              </w:rPr>
            </w:pPr>
            <w:r w:rsidRPr="001F1AA6">
              <w:rPr>
                <w:rFonts w:ascii="宋体" w:eastAsia="宋体" w:hAnsi="宋体" w:cs="宋体" w:hint="eastAsia"/>
                <w:color w:val="4B4B4B"/>
                <w:kern w:val="0"/>
                <w:szCs w:val="21"/>
              </w:rPr>
              <w:t>教育部办公厅发布《关于实施一流本科专业建设“双万计划”的通知》。</w:t>
            </w:r>
          </w:p>
        </w:tc>
      </w:tr>
    </w:tbl>
    <w:p w:rsidR="001F1AA6" w:rsidRPr="001F1AA6" w:rsidRDefault="001F1AA6" w:rsidP="001F1AA6">
      <w:pPr>
        <w:widowControl/>
        <w:shd w:val="clear" w:color="auto" w:fill="FFFFFF"/>
        <w:jc w:val="left"/>
        <w:rPr>
          <w:rFonts w:ascii="微软雅黑" w:eastAsia="微软雅黑" w:hAnsi="微软雅黑" w:cs="宋体"/>
          <w:vanish/>
          <w:kern w:val="0"/>
          <w:sz w:val="24"/>
          <w:szCs w:val="24"/>
        </w:rPr>
      </w:pPr>
      <w:r w:rsidRPr="001F1AA6">
        <w:rPr>
          <w:rFonts w:ascii="微软雅黑" w:eastAsia="微软雅黑" w:hAnsi="微软雅黑" w:cs="宋体" w:hint="eastAsia"/>
          <w:vanish/>
          <w:kern w:val="0"/>
          <w:sz w:val="24"/>
          <w:szCs w:val="24"/>
        </w:rPr>
        <w:t>信息公开_厅函</w:t>
      </w:r>
    </w:p>
    <w:p w:rsidR="001F1AA6" w:rsidRPr="001F1AA6" w:rsidRDefault="001F1AA6" w:rsidP="001F1AA6">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1F1AA6">
        <w:rPr>
          <w:rFonts w:ascii="微软雅黑" w:eastAsia="微软雅黑" w:hAnsi="微软雅黑" w:cs="宋体" w:hint="eastAsia"/>
          <w:b/>
          <w:bCs/>
          <w:color w:val="4B4B4B"/>
          <w:kern w:val="36"/>
          <w:sz w:val="30"/>
          <w:szCs w:val="30"/>
        </w:rPr>
        <w:t>教育部办公厅关于实施一流本科专业建设</w:t>
      </w:r>
      <w:r w:rsidRPr="001F1AA6">
        <w:rPr>
          <w:rFonts w:ascii="微软雅黑" w:eastAsia="微软雅黑" w:hAnsi="微软雅黑" w:cs="宋体" w:hint="eastAsia"/>
          <w:b/>
          <w:bCs/>
          <w:color w:val="4B4B4B"/>
          <w:kern w:val="36"/>
          <w:sz w:val="30"/>
          <w:szCs w:val="30"/>
        </w:rPr>
        <w:br/>
        <w:t>“双万计划”的通知</w:t>
      </w:r>
    </w:p>
    <w:p w:rsidR="001F1AA6" w:rsidRPr="001F1AA6" w:rsidRDefault="001F1AA6" w:rsidP="001F1A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1F1AA6">
        <w:rPr>
          <w:rFonts w:ascii="微软雅黑" w:eastAsia="微软雅黑" w:hAnsi="微软雅黑" w:cs="宋体" w:hint="eastAsia"/>
          <w:color w:val="4B4B4B"/>
          <w:kern w:val="0"/>
          <w:sz w:val="24"/>
          <w:szCs w:val="24"/>
        </w:rPr>
        <w:t>教高厅函</w:t>
      </w:r>
      <w:proofErr w:type="gramEnd"/>
      <w:r w:rsidRPr="001F1AA6">
        <w:rPr>
          <w:rFonts w:ascii="微软雅黑" w:eastAsia="微软雅黑" w:hAnsi="微软雅黑" w:cs="宋体" w:hint="eastAsia"/>
          <w:color w:val="4B4B4B"/>
          <w:kern w:val="0"/>
          <w:sz w:val="24"/>
          <w:szCs w:val="24"/>
        </w:rPr>
        <w:t>〔2019〕18号</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各省、自治区、直辖市教育厅（教委），新疆生产建设兵团教育局，有关部门（单位）教育司（局），部属各高等学校、部省合建各高等学校：</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为深入落实全国教育大会和《加快推进教育现代化实施方案（2018—2022年）》精神，贯彻落实新时代全国高校本科教育工作会议和《教育部关于加快建设高水平本科教育 全面提高人才培养能力的意见》、“六卓越</w:t>
      </w:r>
      <w:proofErr w:type="gramStart"/>
      <w:r w:rsidRPr="001F1AA6">
        <w:rPr>
          <w:rFonts w:ascii="微软雅黑" w:eastAsia="微软雅黑" w:hAnsi="微软雅黑" w:cs="宋体" w:hint="eastAsia"/>
          <w:kern w:val="0"/>
          <w:sz w:val="24"/>
          <w:szCs w:val="24"/>
        </w:rPr>
        <w:t>一</w:t>
      </w:r>
      <w:proofErr w:type="gramEnd"/>
      <w:r w:rsidRPr="001F1AA6">
        <w:rPr>
          <w:rFonts w:ascii="微软雅黑" w:eastAsia="微软雅黑" w:hAnsi="微软雅黑" w:cs="宋体" w:hint="eastAsia"/>
          <w:kern w:val="0"/>
          <w:sz w:val="24"/>
          <w:szCs w:val="24"/>
        </w:rPr>
        <w:t>拔尖”计划2.0系列文件要求，推动新工科、新医科、新农科、新文科建设，做强一流本科、建设一流专业、培养一流人才，全面振兴本科教育，提高高校人才培养能力，实现高等教育内涵式发展，经研究，教育部决定全面实施“六卓越</w:t>
      </w:r>
      <w:proofErr w:type="gramStart"/>
      <w:r w:rsidRPr="001F1AA6">
        <w:rPr>
          <w:rFonts w:ascii="微软雅黑" w:eastAsia="微软雅黑" w:hAnsi="微软雅黑" w:cs="宋体" w:hint="eastAsia"/>
          <w:kern w:val="0"/>
          <w:sz w:val="24"/>
          <w:szCs w:val="24"/>
        </w:rPr>
        <w:t>一</w:t>
      </w:r>
      <w:proofErr w:type="gramEnd"/>
      <w:r w:rsidRPr="001F1AA6">
        <w:rPr>
          <w:rFonts w:ascii="微软雅黑" w:eastAsia="微软雅黑" w:hAnsi="微软雅黑" w:cs="宋体" w:hint="eastAsia"/>
          <w:kern w:val="0"/>
          <w:sz w:val="24"/>
          <w:szCs w:val="24"/>
        </w:rPr>
        <w:t>拔尖”计划2.0，启动一流本科专业建设“双万计划”,现将有关事项通知如下。</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b/>
          <w:bCs/>
          <w:kern w:val="0"/>
          <w:sz w:val="24"/>
          <w:szCs w:val="24"/>
        </w:rPr>
        <w:t xml:space="preserve">　　一、主要任务 </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2019—2021年，建设10000个左右国家级一流本科专业点和10000个左右省级一流本科专业点。</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b/>
          <w:bCs/>
          <w:kern w:val="0"/>
          <w:sz w:val="24"/>
          <w:szCs w:val="24"/>
        </w:rPr>
        <w:t xml:space="preserve">　　二、建设原则 </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面向各类高校。在不同类型的普通本科高校建设一流本科专业，鼓励分类发展、特色发展。</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面向全部专业。覆盖全部92个本科专业类，分年度开展一流本科专业点建设。</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lastRenderedPageBreak/>
        <w:t xml:space="preserve">　　突出示范领跑。建设新工科、新医科、新农科、新文科示范性本科专业，引领带动高校优化专业结构、促进专业建设质量提升，推动形成高水平人才培养体系。</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分“赛道”建设。中央部门所属高校、地方高校名额分列，向地方高校倾斜；鼓励支持高校在服务国家和区域经济社会发展中建设一流本科专业。</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“两步走”实施。报送的专业第一步被确定为国家级一流本科专业建设点；教育部组织开展专业认证，通过后再确定为国家级一流本科专业。</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b/>
          <w:bCs/>
          <w:kern w:val="0"/>
          <w:sz w:val="24"/>
          <w:szCs w:val="24"/>
        </w:rPr>
        <w:t xml:space="preserve">　　三、建设方式 </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1.国家级一流本科专业建设工作分三年完成。每年3月启动，经高校网上报送、教育主管部门或高校提交汇总材料、高等学校教学指导委员会提出推荐意见等，确定建设点名单，当年10月公布结果。</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2.省级一流本科专业建设方案由各省级教育行政部门制订，按照建设总量不超过本行政区域内本科专业布点总数的20%，分三年统筹规划，报教育部备案后与国家级一流专业建设同步组织实施。每年9月底前，各省级教育行政部门将本年度省级一流本科专业建设点名单报教育部，当年10月与国家级一流本科专业建设点名单一并公布。</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3.入选省级一流本科专业建设点的专业，如同时入选国家级一流本科专业建设点，按照国家级一流本科专业建设点公布。空出的省级一流本科专业建设点名额可延至下一年度使用。</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4.根据2019、2020年一流本科专业点建设情况，2021年将对各专业类国家级一流本科专业的建设数量和建设进度进行统筹。</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b/>
          <w:bCs/>
          <w:kern w:val="0"/>
          <w:sz w:val="24"/>
          <w:szCs w:val="24"/>
        </w:rPr>
        <w:t xml:space="preserve">　　四、报送条件 </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（一）报送高校需具备的条件</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lastRenderedPageBreak/>
        <w:t xml:space="preserve">　　1.全面落实“以本为本、四个回归”。坚持立德树人，切实巩固人才培养中心地位和本科教学基础地位，把思想政治教育贯穿人才培养全过程，着力深化教育教学改革，全面提升人才培养质量。</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2.积极推进新工科、新医科、新农科、新文科建设。紧扣国家发展需求，主动适应新一轮科技革命和产业变革，着力深化专业综合改革，优化专业结构，积极发展新兴专业，改造提升传统专业，打造特色优势专业。</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3.不断完善协同育人和实践教学机制。积极集聚优质教育资源，优化人才培养机制，着力推进与政府部门、企事业单位合作办学、合作育人、合作就业、合作发展，强化实践教学，不断提升人才培养的目标达成度和社会满意度。</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4.努力培育以人才培养为中心的质量文化。坚持学生中心、产出导向、持续改进的基本理念，建立健全自查自纠的质量保障机制并持续有效实施，将对质量的追求内化为全校师生的共同价值追求和行为自觉。</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（二）报送专业需具备的条件</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1.专业定位明确。服务面向清晰，适应国家和区域经济社会发展需要，符合学校发展定位和办学方向。</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2.专业管理规范。切实落实本科专业国家标准要求，人才培养方案科学合理，教育教学管理规范有序。近三年未出现重大安全责任事故。</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3.改革成效突出。持续深化教育教学改革，教育理念先进，教学内容更新及时，方法手段不断创新，以新理念、新形态、新方法引领带动新工科、新医科、新农科、新文科建设。</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4.师资力量雄厚。不断加强师资队伍和基层教学组织建设，教育教学研究活动广泛开展，专业教学团队结构合理、整体素质水平高。</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lastRenderedPageBreak/>
        <w:t xml:space="preserve">　　5.培养质量一流。坚持以学生为中心，促进学生全面发展，有效激发学生学习兴趣和潜能，增强创新精神、实践能力和社会责任感，毕业生行业认可度高、社会整体评价好。</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b/>
          <w:bCs/>
          <w:kern w:val="0"/>
          <w:sz w:val="24"/>
          <w:szCs w:val="24"/>
        </w:rPr>
        <w:t xml:space="preserve">　　五、报送办法 </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国家级一流本科专业建设点以学校为单位组织报送。教育部直属高校直接报教育部，其他中央部门所属高校经主管部门同意后报教育部；地方高校由省级教育行政部门统一报教育部。各地各高校报送专业点数（比例）分年度下达。</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b/>
          <w:bCs/>
          <w:kern w:val="0"/>
          <w:sz w:val="24"/>
          <w:szCs w:val="24"/>
        </w:rPr>
        <w:t xml:space="preserve">　　六、组织保障 </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（一）构建三级实施体系。教育部等14个“六卓越</w:t>
      </w:r>
      <w:proofErr w:type="gramStart"/>
      <w:r w:rsidRPr="001F1AA6">
        <w:rPr>
          <w:rFonts w:ascii="微软雅黑" w:eastAsia="微软雅黑" w:hAnsi="微软雅黑" w:cs="宋体" w:hint="eastAsia"/>
          <w:kern w:val="0"/>
          <w:sz w:val="24"/>
          <w:szCs w:val="24"/>
        </w:rPr>
        <w:t>一</w:t>
      </w:r>
      <w:proofErr w:type="gramEnd"/>
      <w:r w:rsidRPr="001F1AA6">
        <w:rPr>
          <w:rFonts w:ascii="微软雅黑" w:eastAsia="微软雅黑" w:hAnsi="微软雅黑" w:cs="宋体" w:hint="eastAsia"/>
          <w:kern w:val="0"/>
          <w:sz w:val="24"/>
          <w:szCs w:val="24"/>
        </w:rPr>
        <w:t>拔尖”计划2.0负责部委（单位）统筹一流本科专业建设“双万计划”组织实施工作，指导各地、各高校落实有关文件要求，加强一流本科专业建设，推动构建国家、地方、高校三级实施体系。</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（二）完善经费保障。中央部门所属高校应当统筹利用中央高校教育教学改革</w:t>
      </w:r>
      <w:proofErr w:type="gramStart"/>
      <w:r w:rsidRPr="001F1AA6">
        <w:rPr>
          <w:rFonts w:ascii="微软雅黑" w:eastAsia="微软雅黑" w:hAnsi="微软雅黑" w:cs="宋体" w:hint="eastAsia"/>
          <w:kern w:val="0"/>
          <w:sz w:val="24"/>
          <w:szCs w:val="24"/>
        </w:rPr>
        <w:t>专项等</w:t>
      </w:r>
      <w:proofErr w:type="gramEnd"/>
      <w:r w:rsidRPr="001F1AA6">
        <w:rPr>
          <w:rFonts w:ascii="微软雅黑" w:eastAsia="微软雅黑" w:hAnsi="微软雅黑" w:cs="宋体" w:hint="eastAsia"/>
          <w:kern w:val="0"/>
          <w:sz w:val="24"/>
          <w:szCs w:val="24"/>
        </w:rPr>
        <w:t>中央高校预算拨款和其他各类资源，各地应当统筹地方财政高等教育资金和中央支持地方高校改革发展资金，支持一流本科专业建设。</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（三）建立动态调整机制。教育部和省级教育行政部门加强对计划实施过程跟踪，针对一流本科专业建设中存在的问题，提出改进意见建议，对于建设质量不达标、出现严重质量问题的专业建设点予以撤销。</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b/>
          <w:bCs/>
          <w:kern w:val="0"/>
          <w:sz w:val="24"/>
          <w:szCs w:val="24"/>
        </w:rPr>
        <w:t xml:space="preserve">　　七、关于2019年国家级一流本科专业建设点报送工作 </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1.报送数量。中央部门所属高校、部省合建高校2019年度报送的专业点数不超过本校本科专业布点数25%；各省级教育行政部门2019年度报送专业点数量不超过本地所属地方高校本科专业布点总数的15%。</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2.在线登录账号和密码。高校使用“高等教育质量监测国家数据平台”的登录账号及密码。各省级教育行政部门、中央有关部门（单位）教育司（局）须明确工作联系人，于2019年4</w:t>
      </w:r>
      <w:r w:rsidRPr="001F1AA6">
        <w:rPr>
          <w:rFonts w:ascii="微软雅黑" w:eastAsia="微软雅黑" w:hAnsi="微软雅黑" w:cs="宋体" w:hint="eastAsia"/>
          <w:kern w:val="0"/>
          <w:sz w:val="24"/>
          <w:szCs w:val="24"/>
        </w:rPr>
        <w:lastRenderedPageBreak/>
        <w:t>月15日前将姓名、单位、座机、手机、电子邮件、传真号码报至教育部高等教育司文科处，获取报送系统登录账号及密码。</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3.在线报送时间和网址。在线报送时间为2019年4月20日—6月30日，请登录“国家级一流本科专业建设报送系统”（网址：http://udb.heec.edu.cn），按照系统提示填报。</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4.在线审核和提交。各省级教育行政部门、中央有关部门（单位）教育司（局）须在2019年6月30日前，登录报送系统，严格按照限额，完成所属高校报送信息的在线审核和提交工作。</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5.纸质材料报送。高校在线报送完成后，请导出《国家级一流本科专业建设点信息汇总表》，加盖本校公章。教育部直属高校、部省合建高校材料直接报教育部；中央部门所属高校材料加盖主管部门公章后报教育部；地方高校材料由省级教育行政部门加盖公章后统一报送教育部。请于2019年7月1日前（以邮戳时间为准），将材料寄北京市西城区西单大木仓胡同35号教育部高等教育司文科处，邮编：100816。</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联系人及电话：教育部高等教育司，朱蓓蓓、徐健，010-66097823；教育部高等教育教学评估中心，郭栋、南方，010-82213390、82213395。</w:t>
      </w:r>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附件：1.</w:t>
      </w:r>
      <w:hyperlink r:id="rId4" w:tgtFrame="_blank" w:history="1">
        <w:r w:rsidRPr="001F1AA6">
          <w:rPr>
            <w:rFonts w:ascii="微软雅黑" w:eastAsia="微软雅黑" w:hAnsi="微软雅黑" w:cs="宋体" w:hint="eastAsia"/>
            <w:kern w:val="0"/>
            <w:sz w:val="24"/>
            <w:szCs w:val="24"/>
          </w:rPr>
          <w:t>国家级一流本科专业分专业类建设规划</w:t>
        </w:r>
      </w:hyperlink>
    </w:p>
    <w:p w:rsidR="001F1AA6" w:rsidRPr="001F1AA6" w:rsidRDefault="001F1AA6" w:rsidP="001F1AA6">
      <w:pPr>
        <w:widowControl/>
        <w:shd w:val="clear" w:color="auto" w:fill="FFFFFF"/>
        <w:spacing w:line="480" w:lineRule="atLeast"/>
        <w:jc w:val="lef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 xml:space="preserve">　　　　　2.</w:t>
      </w:r>
      <w:hyperlink r:id="rId5" w:tgtFrame="_blank" w:history="1">
        <w:r w:rsidRPr="001F1AA6">
          <w:rPr>
            <w:rFonts w:ascii="微软雅黑" w:eastAsia="微软雅黑" w:hAnsi="微软雅黑" w:cs="宋体" w:hint="eastAsia"/>
            <w:kern w:val="0"/>
            <w:sz w:val="24"/>
            <w:szCs w:val="24"/>
          </w:rPr>
          <w:t>国家级一流本科专业建设点信息采集表</w:t>
        </w:r>
      </w:hyperlink>
    </w:p>
    <w:p w:rsidR="001F1AA6" w:rsidRPr="001F1AA6" w:rsidRDefault="001F1AA6" w:rsidP="001F1AA6">
      <w:pPr>
        <w:widowControl/>
        <w:shd w:val="clear" w:color="auto" w:fill="FFFFFF"/>
        <w:spacing w:line="480" w:lineRule="atLeast"/>
        <w:jc w:val="righ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教育部办公厅</w:t>
      </w:r>
    </w:p>
    <w:p w:rsidR="001F1AA6" w:rsidRPr="001F1AA6" w:rsidRDefault="001F1AA6" w:rsidP="001F1AA6">
      <w:pPr>
        <w:widowControl/>
        <w:shd w:val="clear" w:color="auto" w:fill="FFFFFF"/>
        <w:spacing w:line="480" w:lineRule="atLeast"/>
        <w:jc w:val="right"/>
        <w:rPr>
          <w:rFonts w:ascii="微软雅黑" w:eastAsia="微软雅黑" w:hAnsi="微软雅黑" w:cs="宋体" w:hint="eastAsia"/>
          <w:kern w:val="0"/>
          <w:sz w:val="24"/>
          <w:szCs w:val="24"/>
        </w:rPr>
      </w:pPr>
      <w:r w:rsidRPr="001F1AA6">
        <w:rPr>
          <w:rFonts w:ascii="微软雅黑" w:eastAsia="微软雅黑" w:hAnsi="微软雅黑" w:cs="宋体" w:hint="eastAsia"/>
          <w:kern w:val="0"/>
          <w:sz w:val="24"/>
          <w:szCs w:val="24"/>
        </w:rPr>
        <w:t>2019年4月2日</w:t>
      </w:r>
    </w:p>
    <w:p w:rsidR="001F1AA6" w:rsidRPr="001F1AA6" w:rsidRDefault="001F1AA6">
      <w:pPr>
        <w:widowControl/>
        <w:shd w:val="clear" w:color="auto" w:fill="FFFFFF"/>
        <w:spacing w:line="480" w:lineRule="atLeast"/>
        <w:jc w:val="right"/>
        <w:rPr>
          <w:rFonts w:ascii="微软雅黑" w:eastAsia="微软雅黑" w:hAnsi="微软雅黑" w:cs="宋体"/>
          <w:kern w:val="0"/>
          <w:sz w:val="24"/>
          <w:szCs w:val="24"/>
        </w:rPr>
      </w:pPr>
    </w:p>
    <w:sectPr w:rsidR="001F1AA6" w:rsidRPr="001F1AA6" w:rsidSect="001F1AA6">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AA6"/>
    <w:rsid w:val="000116D6"/>
    <w:rsid w:val="000276DD"/>
    <w:rsid w:val="0003590F"/>
    <w:rsid w:val="000B318F"/>
    <w:rsid w:val="000B7BF4"/>
    <w:rsid w:val="000C34C5"/>
    <w:rsid w:val="000D3006"/>
    <w:rsid w:val="00105689"/>
    <w:rsid w:val="00106307"/>
    <w:rsid w:val="00110EBF"/>
    <w:rsid w:val="0013472C"/>
    <w:rsid w:val="0018000A"/>
    <w:rsid w:val="00183769"/>
    <w:rsid w:val="00184372"/>
    <w:rsid w:val="001A5FC4"/>
    <w:rsid w:val="001B512E"/>
    <w:rsid w:val="001E585B"/>
    <w:rsid w:val="001F1AA6"/>
    <w:rsid w:val="002230FB"/>
    <w:rsid w:val="0024176A"/>
    <w:rsid w:val="00252AFE"/>
    <w:rsid w:val="00331EDD"/>
    <w:rsid w:val="003A4BE2"/>
    <w:rsid w:val="003D68A2"/>
    <w:rsid w:val="00467CAD"/>
    <w:rsid w:val="00474147"/>
    <w:rsid w:val="00481678"/>
    <w:rsid w:val="00491F69"/>
    <w:rsid w:val="004A1397"/>
    <w:rsid w:val="004B1ABC"/>
    <w:rsid w:val="005020DD"/>
    <w:rsid w:val="0052770C"/>
    <w:rsid w:val="005629F4"/>
    <w:rsid w:val="00564FBC"/>
    <w:rsid w:val="005A23A3"/>
    <w:rsid w:val="005A564D"/>
    <w:rsid w:val="005A567C"/>
    <w:rsid w:val="005A773A"/>
    <w:rsid w:val="005B739C"/>
    <w:rsid w:val="005C1A49"/>
    <w:rsid w:val="006178DA"/>
    <w:rsid w:val="00634A61"/>
    <w:rsid w:val="0064531A"/>
    <w:rsid w:val="00651ADA"/>
    <w:rsid w:val="00672320"/>
    <w:rsid w:val="00685B79"/>
    <w:rsid w:val="006A06AA"/>
    <w:rsid w:val="006D6C1D"/>
    <w:rsid w:val="00700A96"/>
    <w:rsid w:val="00706F04"/>
    <w:rsid w:val="00740D1D"/>
    <w:rsid w:val="00766138"/>
    <w:rsid w:val="007A5C7A"/>
    <w:rsid w:val="007C3C3C"/>
    <w:rsid w:val="007D1B3E"/>
    <w:rsid w:val="007E4D3F"/>
    <w:rsid w:val="00810726"/>
    <w:rsid w:val="00813359"/>
    <w:rsid w:val="00822253"/>
    <w:rsid w:val="00843652"/>
    <w:rsid w:val="00846FE7"/>
    <w:rsid w:val="008518AB"/>
    <w:rsid w:val="00857196"/>
    <w:rsid w:val="00896517"/>
    <w:rsid w:val="0089743B"/>
    <w:rsid w:val="008A79F0"/>
    <w:rsid w:val="008E66E3"/>
    <w:rsid w:val="008F27DA"/>
    <w:rsid w:val="00902C49"/>
    <w:rsid w:val="0090796F"/>
    <w:rsid w:val="00912358"/>
    <w:rsid w:val="00931976"/>
    <w:rsid w:val="00954645"/>
    <w:rsid w:val="0096353C"/>
    <w:rsid w:val="009A3BCE"/>
    <w:rsid w:val="009D11DF"/>
    <w:rsid w:val="00A03946"/>
    <w:rsid w:val="00A11CEC"/>
    <w:rsid w:val="00A96AC7"/>
    <w:rsid w:val="00AC0049"/>
    <w:rsid w:val="00AC3FBB"/>
    <w:rsid w:val="00AC670B"/>
    <w:rsid w:val="00AE1B1F"/>
    <w:rsid w:val="00AE2517"/>
    <w:rsid w:val="00AE5EA7"/>
    <w:rsid w:val="00B15617"/>
    <w:rsid w:val="00B5077F"/>
    <w:rsid w:val="00B50AB3"/>
    <w:rsid w:val="00B738AF"/>
    <w:rsid w:val="00B9102C"/>
    <w:rsid w:val="00C02C18"/>
    <w:rsid w:val="00C94687"/>
    <w:rsid w:val="00CB0611"/>
    <w:rsid w:val="00CB1C76"/>
    <w:rsid w:val="00CB7EC0"/>
    <w:rsid w:val="00CC52D7"/>
    <w:rsid w:val="00CC5A63"/>
    <w:rsid w:val="00D006DB"/>
    <w:rsid w:val="00D2082F"/>
    <w:rsid w:val="00D36806"/>
    <w:rsid w:val="00D45D27"/>
    <w:rsid w:val="00D653F8"/>
    <w:rsid w:val="00D80D4B"/>
    <w:rsid w:val="00DA25DD"/>
    <w:rsid w:val="00DA47FD"/>
    <w:rsid w:val="00DB5C02"/>
    <w:rsid w:val="00DC2840"/>
    <w:rsid w:val="00DD06B3"/>
    <w:rsid w:val="00E12FA6"/>
    <w:rsid w:val="00E626AA"/>
    <w:rsid w:val="00E627AD"/>
    <w:rsid w:val="00E82DEE"/>
    <w:rsid w:val="00EC4650"/>
    <w:rsid w:val="00ED06E9"/>
    <w:rsid w:val="00F03A47"/>
    <w:rsid w:val="00F30ACE"/>
    <w:rsid w:val="00F37BBC"/>
    <w:rsid w:val="00F4112C"/>
    <w:rsid w:val="00F83735"/>
    <w:rsid w:val="00FA6D2A"/>
    <w:rsid w:val="00FB79E7"/>
    <w:rsid w:val="00FC41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1AA6"/>
    <w:rPr>
      <w:b/>
      <w:bCs/>
    </w:rPr>
  </w:style>
</w:styles>
</file>

<file path=word/webSettings.xml><?xml version="1.0" encoding="utf-8"?>
<w:webSettings xmlns:r="http://schemas.openxmlformats.org/officeDocument/2006/relationships" xmlns:w="http://schemas.openxmlformats.org/wordprocessingml/2006/main">
  <w:divs>
    <w:div w:id="262614692">
      <w:bodyDiv w:val="1"/>
      <w:marLeft w:val="0"/>
      <w:marRight w:val="0"/>
      <w:marTop w:val="0"/>
      <w:marBottom w:val="0"/>
      <w:divBdr>
        <w:top w:val="none" w:sz="0" w:space="0" w:color="auto"/>
        <w:left w:val="none" w:sz="0" w:space="0" w:color="auto"/>
        <w:bottom w:val="none" w:sz="0" w:space="0" w:color="auto"/>
        <w:right w:val="none" w:sz="0" w:space="0" w:color="auto"/>
      </w:divBdr>
      <w:divsChild>
        <w:div w:id="1821533915">
          <w:marLeft w:val="0"/>
          <w:marRight w:val="0"/>
          <w:marTop w:val="0"/>
          <w:marBottom w:val="0"/>
          <w:divBdr>
            <w:top w:val="none" w:sz="0" w:space="0" w:color="auto"/>
            <w:left w:val="none" w:sz="0" w:space="0" w:color="auto"/>
            <w:bottom w:val="none" w:sz="0" w:space="0" w:color="auto"/>
            <w:right w:val="none" w:sz="0" w:space="0" w:color="auto"/>
          </w:divBdr>
          <w:divsChild>
            <w:div w:id="1966541090">
              <w:marLeft w:val="0"/>
              <w:marRight w:val="0"/>
              <w:marTop w:val="0"/>
              <w:marBottom w:val="0"/>
              <w:divBdr>
                <w:top w:val="none" w:sz="0" w:space="0" w:color="auto"/>
                <w:left w:val="none" w:sz="0" w:space="0" w:color="auto"/>
                <w:bottom w:val="none" w:sz="0" w:space="0" w:color="auto"/>
                <w:right w:val="none" w:sz="0" w:space="0" w:color="auto"/>
              </w:divBdr>
              <w:divsChild>
                <w:div w:id="837773042">
                  <w:marLeft w:val="0"/>
                  <w:marRight w:val="0"/>
                  <w:marTop w:val="0"/>
                  <w:marBottom w:val="0"/>
                  <w:divBdr>
                    <w:top w:val="single" w:sz="6" w:space="31" w:color="BCBCBC"/>
                    <w:left w:val="single" w:sz="6" w:space="31" w:color="BCBCBC"/>
                    <w:bottom w:val="single" w:sz="6" w:space="15" w:color="BCBCBC"/>
                    <w:right w:val="single" w:sz="6" w:space="31" w:color="BCBCBC"/>
                  </w:divBdr>
                  <w:divsChild>
                    <w:div w:id="1147744944">
                      <w:marLeft w:val="0"/>
                      <w:marRight w:val="0"/>
                      <w:marTop w:val="0"/>
                      <w:marBottom w:val="0"/>
                      <w:divBdr>
                        <w:top w:val="none" w:sz="0" w:space="0" w:color="auto"/>
                        <w:left w:val="none" w:sz="0" w:space="0" w:color="auto"/>
                        <w:bottom w:val="none" w:sz="0" w:space="0" w:color="auto"/>
                        <w:right w:val="none" w:sz="0" w:space="0" w:color="auto"/>
                      </w:divBdr>
                    </w:div>
                    <w:div w:id="610362987">
                      <w:marLeft w:val="0"/>
                      <w:marRight w:val="0"/>
                      <w:marTop w:val="450"/>
                      <w:marBottom w:val="0"/>
                      <w:divBdr>
                        <w:top w:val="none" w:sz="0" w:space="0" w:color="auto"/>
                        <w:left w:val="none" w:sz="0" w:space="0" w:color="auto"/>
                        <w:bottom w:val="none" w:sz="0" w:space="0" w:color="auto"/>
                        <w:right w:val="none" w:sz="0" w:space="0" w:color="auto"/>
                      </w:divBdr>
                    </w:div>
                    <w:div w:id="1676106730">
                      <w:marLeft w:val="0"/>
                      <w:marRight w:val="0"/>
                      <w:marTop w:val="0"/>
                      <w:marBottom w:val="0"/>
                      <w:divBdr>
                        <w:top w:val="none" w:sz="0" w:space="0" w:color="auto"/>
                        <w:left w:val="none" w:sz="0" w:space="0" w:color="auto"/>
                        <w:bottom w:val="none" w:sz="0" w:space="0" w:color="auto"/>
                        <w:right w:val="none" w:sz="0" w:space="0" w:color="auto"/>
                      </w:divBdr>
                      <w:divsChild>
                        <w:div w:id="10259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edu.cn/srcsite/A08/s7056/201904/W020190409566973965302.docx" TargetMode="External"/><Relationship Id="rId4" Type="http://schemas.openxmlformats.org/officeDocument/2006/relationships/hyperlink" Target="http://www.moe.edu.cn/srcsite/A08/s7056/201904/W02019040956697395814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2019-04-22T03:12:00Z</dcterms:created>
  <dcterms:modified xsi:type="dcterms:W3CDTF">2019-04-22T03:17:00Z</dcterms:modified>
</cp:coreProperties>
</file>