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080"/>
        </w:tabs>
        <w:kinsoku/>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keepNext w:val="0"/>
        <w:keepLines w:val="0"/>
        <w:pageBreakBefore w:val="0"/>
        <w:tabs>
          <w:tab w:val="left" w:pos="1080"/>
        </w:tabs>
        <w:kinsoku/>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p>
    <w:tbl>
      <w:tblPr>
        <w:tblStyle w:val="4"/>
        <w:tblpPr w:leftFromText="180" w:rightFromText="180" w:vertAnchor="page" w:horzAnchor="page" w:tblpX="1353" w:tblpY="3275"/>
        <w:tblOverlap w:val="never"/>
        <w:tblW w:w="5521" w:type="pct"/>
        <w:jc w:val="center"/>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Layout w:type="autofit"/>
        <w:tblCellMar>
          <w:top w:w="0" w:type="dxa"/>
          <w:left w:w="108" w:type="dxa"/>
          <w:bottom w:w="0" w:type="dxa"/>
          <w:right w:w="108" w:type="dxa"/>
        </w:tblCellMar>
      </w:tblPr>
      <w:tblGrid>
        <w:gridCol w:w="1005"/>
        <w:gridCol w:w="680"/>
        <w:gridCol w:w="6780"/>
        <w:gridCol w:w="945"/>
      </w:tblGrid>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408" w:hRule="atLeast"/>
          <w:jc w:val="center"/>
        </w:trPr>
        <w:tc>
          <w:tcPr>
            <w:tcW w:w="53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
                <w:bCs/>
                <w:color w:val="000000"/>
                <w:spacing w:val="-11"/>
                <w:kern w:val="0"/>
                <w:sz w:val="20"/>
                <w:szCs w:val="20"/>
              </w:rPr>
            </w:pPr>
            <w:r>
              <w:rPr>
                <w:rFonts w:hint="eastAsia" w:ascii="Times New Roman" w:hAnsi="Times New Roman"/>
                <w:b/>
                <w:bCs/>
                <w:color w:val="000000"/>
                <w:spacing w:val="-11"/>
                <w:kern w:val="0"/>
                <w:sz w:val="20"/>
                <w:szCs w:val="20"/>
              </w:rPr>
              <w:t>评价</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
                <w:bCs/>
                <w:color w:val="000000"/>
                <w:spacing w:val="-11"/>
                <w:kern w:val="0"/>
                <w:sz w:val="20"/>
                <w:szCs w:val="20"/>
              </w:rPr>
            </w:pPr>
            <w:r>
              <w:rPr>
                <w:rFonts w:hint="eastAsia" w:ascii="Times New Roman" w:hAnsi="Times New Roman"/>
                <w:b/>
                <w:bCs/>
                <w:color w:val="000000"/>
                <w:spacing w:val="-11"/>
                <w:kern w:val="0"/>
                <w:sz w:val="20"/>
                <w:szCs w:val="20"/>
              </w:rPr>
              <w:t>内容</w:t>
            </w: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
                <w:bCs/>
                <w:color w:val="000000"/>
                <w:spacing w:val="-11"/>
                <w:kern w:val="0"/>
                <w:sz w:val="20"/>
                <w:szCs w:val="20"/>
              </w:rPr>
            </w:pPr>
            <w:r>
              <w:rPr>
                <w:rFonts w:hint="eastAsia" w:ascii="Times New Roman" w:hAnsi="Times New Roman"/>
                <w:b/>
                <w:bCs/>
                <w:color w:val="000000"/>
                <w:spacing w:val="-11"/>
                <w:kern w:val="0"/>
                <w:sz w:val="20"/>
                <w:szCs w:val="20"/>
              </w:rPr>
              <w:t>评价人</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
                <w:bCs/>
                <w:color w:val="000000"/>
                <w:spacing w:val="-11"/>
                <w:kern w:val="0"/>
                <w:sz w:val="20"/>
                <w:szCs w:val="20"/>
              </w:rPr>
            </w:pPr>
            <w:r>
              <w:rPr>
                <w:rFonts w:hint="eastAsia" w:ascii="Times New Roman" w:hAnsi="Times New Roman"/>
                <w:b/>
                <w:bCs/>
                <w:color w:val="000000"/>
                <w:spacing w:val="-11"/>
                <w:kern w:val="0"/>
                <w:sz w:val="20"/>
                <w:szCs w:val="20"/>
              </w:rPr>
              <w:t>评价标准</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
                <w:bCs/>
                <w:color w:val="000000"/>
                <w:spacing w:val="-11"/>
                <w:kern w:val="0"/>
                <w:sz w:val="20"/>
                <w:szCs w:val="20"/>
              </w:rPr>
            </w:pPr>
            <w:r>
              <w:rPr>
                <w:rFonts w:hint="eastAsia" w:ascii="Times New Roman" w:hAnsi="Times New Roman"/>
                <w:b/>
                <w:bCs/>
                <w:color w:val="000000"/>
                <w:spacing w:val="-11"/>
                <w:kern w:val="0"/>
                <w:sz w:val="20"/>
                <w:szCs w:val="20"/>
              </w:rPr>
              <w:t>课程目标</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
                <w:bCs/>
                <w:color w:val="000000"/>
                <w:spacing w:val="-11"/>
                <w:kern w:val="0"/>
                <w:sz w:val="20"/>
                <w:szCs w:val="20"/>
              </w:rPr>
            </w:pPr>
            <w:r>
              <w:rPr>
                <w:rFonts w:hint="eastAsia" w:ascii="Times New Roman" w:hAnsi="Times New Roman"/>
                <w:b/>
                <w:bCs/>
                <w:color w:val="000000"/>
                <w:spacing w:val="-11"/>
                <w:kern w:val="0"/>
                <w:sz w:val="20"/>
                <w:szCs w:val="20"/>
              </w:rPr>
              <w:t>(观测点)</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工作态度和纪律</w:t>
            </w:r>
          </w:p>
        </w:tc>
        <w:tc>
          <w:tcPr>
            <w:tcW w:w="361"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指导教师</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rPr>
            </w:pPr>
            <w:r>
              <w:rPr>
                <w:rFonts w:ascii="Times New Roman" w:hAnsi="Times New Roman"/>
                <w:bCs/>
                <w:color w:val="000000"/>
                <w:spacing w:val="-11"/>
                <w:kern w:val="0"/>
                <w:sz w:val="20"/>
                <w:szCs w:val="20"/>
              </w:rPr>
              <w:t>遵守纪律，</w:t>
            </w:r>
            <w:r>
              <w:rPr>
                <w:rFonts w:hint="eastAsia" w:ascii="Times New Roman" w:hAnsi="Times New Roman"/>
                <w:bCs/>
                <w:color w:val="000000"/>
                <w:spacing w:val="-11"/>
                <w:kern w:val="0"/>
                <w:sz w:val="20"/>
                <w:szCs w:val="20"/>
              </w:rPr>
              <w:t>工作</w:t>
            </w:r>
            <w:r>
              <w:rPr>
                <w:rFonts w:ascii="Times New Roman" w:hAnsi="Times New Roman"/>
                <w:bCs/>
                <w:color w:val="000000"/>
                <w:spacing w:val="-11"/>
                <w:kern w:val="0"/>
                <w:sz w:val="20"/>
                <w:szCs w:val="20"/>
              </w:rPr>
              <w:t>态度好</w:t>
            </w:r>
            <w:r>
              <w:rPr>
                <w:rFonts w:hint="eastAsia" w:ascii="Times New Roman" w:hAnsi="Times New Roman"/>
                <w:bCs/>
                <w:color w:val="000000"/>
                <w:spacing w:val="-11"/>
                <w:kern w:val="0"/>
                <w:sz w:val="20"/>
                <w:szCs w:val="20"/>
              </w:rPr>
              <w:t>，能了解交通工程多学科背景团队的构成以及不同角色成员的职责。</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ascii="Times New Roman" w:hAnsi="Times New Roman"/>
                <w:bCs/>
                <w:color w:val="000000"/>
                <w:spacing w:val="-11"/>
                <w:kern w:val="0"/>
                <w:sz w:val="20"/>
                <w:szCs w:val="20"/>
              </w:rPr>
              <w:t>5</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w:t>
            </w:r>
            <w:r>
              <w:rPr>
                <w:rFonts w:ascii="Times New Roman" w:hAnsi="Times New Roman"/>
                <w:bCs/>
                <w:color w:val="000000"/>
                <w:spacing w:val="-11"/>
                <w:kern w:val="0"/>
                <w:sz w:val="20"/>
                <w:szCs w:val="20"/>
              </w:rPr>
              <w:t>9.1</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p>
        </w:tc>
        <w:tc>
          <w:tcPr>
            <w:tcW w:w="361"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color w:val="000000"/>
                <w:spacing w:val="-11"/>
                <w:sz w:val="20"/>
                <w:szCs w:val="20"/>
              </w:rPr>
            </w:pPr>
            <w:r>
              <w:rPr>
                <w:rFonts w:hint="eastAsia" w:ascii="Times New Roman" w:hAnsi="Times New Roman"/>
                <w:bCs/>
                <w:color w:val="000000"/>
                <w:spacing w:val="-11"/>
                <w:kern w:val="0"/>
                <w:sz w:val="20"/>
                <w:szCs w:val="20"/>
                <w:lang w:val="zh-CN"/>
              </w:rPr>
              <w:t>就交通工程建设等方面的复杂工程问题与业界同行及社会公众进行有效沟通和交流，培养学生具备良好的沟通和协调能力，且具备撰写专业报告和设计文稿的能力</w:t>
            </w:r>
            <w:r>
              <w:rPr>
                <w:rFonts w:hint="eastAsia" w:ascii="Times New Roman" w:hAnsi="Times New Roman"/>
                <w:bCs/>
                <w:color w:val="000000"/>
                <w:spacing w:val="-11"/>
                <w:kern w:val="0"/>
                <w:sz w:val="20"/>
                <w:szCs w:val="20"/>
              </w:rPr>
              <w:t>。</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ascii="Times New Roman" w:hAnsi="Times New Roman"/>
                <w:bCs/>
                <w:color w:val="000000"/>
                <w:spacing w:val="-11"/>
                <w:kern w:val="0"/>
                <w:sz w:val="20"/>
                <w:szCs w:val="20"/>
              </w:rPr>
              <w:t>5</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rPr>
              <w:t>（</w:t>
            </w:r>
            <w:r>
              <w:rPr>
                <w:rFonts w:ascii="Times New Roman" w:hAnsi="Times New Roman"/>
                <w:bCs/>
                <w:color w:val="000000"/>
                <w:spacing w:val="-11"/>
                <w:kern w:val="0"/>
                <w:sz w:val="20"/>
                <w:szCs w:val="20"/>
              </w:rPr>
              <w:t>10.1</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工程知识掌握能力</w:t>
            </w: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指导教师</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在毕业设计（论文）过程中学生能够根据研究思路进行必要的调研、实验等实践活动，应用自然科学基础知识、相关工程基础和专业基础知识解决交通规划、管理与控制及道路工程等复杂的工程问题。</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1</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（1</w:t>
            </w:r>
            <w:r>
              <w:rPr>
                <w:rFonts w:ascii="Times New Roman" w:hAnsi="Times New Roman"/>
                <w:bCs/>
                <w:color w:val="000000"/>
                <w:spacing w:val="-11"/>
                <w:kern w:val="0"/>
                <w:sz w:val="20"/>
                <w:szCs w:val="20"/>
              </w:rPr>
              <w:t>.3</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评阅教师</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能够掌握相关本科阶段所学的数学、力学、经济管理及法律法规等相关学科基础知识，及交通方向和道路方向相关的专业基础知识，并能应用自然科学基础知识、相关工程基础和专业基础知识解决交通规划、管理与控制及道路工程等复杂的工程问题。</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1</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（1</w:t>
            </w:r>
            <w:r>
              <w:rPr>
                <w:rFonts w:ascii="Times New Roman" w:hAnsi="Times New Roman"/>
                <w:bCs/>
                <w:color w:val="000000"/>
                <w:spacing w:val="-11"/>
                <w:kern w:val="0"/>
                <w:sz w:val="20"/>
                <w:szCs w:val="20"/>
              </w:rPr>
              <w:t>.3</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答辩组</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毕业设计（论文）结论正确，回答问题正确，学生具备解决复杂工程问题所需的数学、自然科学、工程基础和专业知识，并能够将这些知识用于解决复杂工程问题。</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1</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（1</w:t>
            </w:r>
            <w:r>
              <w:rPr>
                <w:rFonts w:ascii="Times New Roman" w:hAnsi="Times New Roman"/>
                <w:bCs/>
                <w:color w:val="000000"/>
                <w:spacing w:val="-11"/>
                <w:kern w:val="0"/>
                <w:sz w:val="20"/>
                <w:szCs w:val="20"/>
              </w:rPr>
              <w:t>.3</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方案解决能力</w:t>
            </w: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指导教师</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能够运用所学专业知识对毕业设计（论文）的涉及的工程问题提出解决方案，综合应用所学知识解决工程问题的能力和独立开展工作的能力，并能充分考虑社会经济、安全、法律、环境等因素的影响，进一步巩固所学专业知识。</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2</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（3</w:t>
            </w:r>
            <w:r>
              <w:rPr>
                <w:rFonts w:ascii="Times New Roman" w:hAnsi="Times New Roman"/>
                <w:bCs/>
                <w:color w:val="000000"/>
                <w:spacing w:val="-11"/>
                <w:kern w:val="0"/>
                <w:sz w:val="20"/>
                <w:szCs w:val="20"/>
              </w:rPr>
              <w:t>.4</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258" w:hRule="atLeast"/>
          <w:jc w:val="center"/>
        </w:trPr>
        <w:tc>
          <w:tcPr>
            <w:tcW w:w="53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评阅教师</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在交通工程复杂专业问题的方案设计中，能够考虑社会经济、安全、法律、环境等因素的影响。</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2</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（3</w:t>
            </w:r>
            <w:r>
              <w:rPr>
                <w:rFonts w:ascii="Times New Roman" w:hAnsi="Times New Roman"/>
                <w:bCs/>
                <w:color w:val="000000"/>
                <w:spacing w:val="-11"/>
                <w:kern w:val="0"/>
                <w:sz w:val="20"/>
                <w:szCs w:val="20"/>
              </w:rPr>
              <w:t>.4</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368" w:hRule="atLeast"/>
          <w:jc w:val="center"/>
        </w:trPr>
        <w:tc>
          <w:tcPr>
            <w:tcW w:w="53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答辩组</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能够独立完成毕业设计（论文）任务，具有分析和解决实际工程问题的能力毕业设计（论文）中能够充分考虑社会经济、安全、法律、环境等因素的影响，具备独立开展工作的能力。</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2</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（3</w:t>
            </w:r>
            <w:r>
              <w:rPr>
                <w:rFonts w:ascii="Times New Roman" w:hAnsi="Times New Roman"/>
                <w:bCs/>
                <w:color w:val="000000"/>
                <w:spacing w:val="-11"/>
                <w:kern w:val="0"/>
                <w:sz w:val="20"/>
                <w:szCs w:val="20"/>
              </w:rPr>
              <w:t>.4</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现代工具使用能力</w:t>
            </w: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指导教师</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能够熟练利用交通调查、软件计算、力学建模、资料检索等技术、资源、工具，对毕业设计（论文）复杂工程问题的方案设计开展预测与模拟，并理解相关技术工具的局限性及未来的发展趋势。</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3</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（5</w:t>
            </w:r>
            <w:r>
              <w:rPr>
                <w:rFonts w:ascii="Times New Roman" w:hAnsi="Times New Roman"/>
                <w:bCs/>
                <w:color w:val="000000"/>
                <w:spacing w:val="-11"/>
                <w:kern w:val="0"/>
                <w:sz w:val="20"/>
                <w:szCs w:val="20"/>
              </w:rPr>
              <w:t>.2</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评阅教师</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能够针对毕业设计（论文）选题，合理开发、选择与使用恰当的技术、资源、现代工程工具和信息技术工具，解决毕业设计（论文）的工程问题，能够对交通工程复杂问题进行预测与模拟。</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3</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（5</w:t>
            </w:r>
            <w:r>
              <w:rPr>
                <w:rFonts w:ascii="Times New Roman" w:hAnsi="Times New Roman"/>
                <w:bCs/>
                <w:color w:val="000000"/>
                <w:spacing w:val="-11"/>
                <w:kern w:val="0"/>
                <w:sz w:val="20"/>
                <w:szCs w:val="20"/>
              </w:rPr>
              <w:t>.2</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答辩组</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针对毕业设计（论文）的任务，合理并正确的采取了恰当的技术、资源、现代工程工具和信息技术工具。</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3</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（5</w:t>
            </w:r>
            <w:r>
              <w:rPr>
                <w:rFonts w:ascii="Times New Roman" w:hAnsi="Times New Roman"/>
                <w:bCs/>
                <w:color w:val="000000"/>
                <w:spacing w:val="-11"/>
                <w:kern w:val="0"/>
                <w:sz w:val="20"/>
                <w:szCs w:val="20"/>
              </w:rPr>
              <w:t>.2</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工程与社会关系理解能力</w:t>
            </w: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指导教师</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针对工程案例，在注重工程方案可行性之外，能够合理分析与评价交通工程复杂问题的解决方案对社会、健康、安全、法律以及文化的影响，并理解应承担的责任。</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4</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（6</w:t>
            </w:r>
            <w:r>
              <w:rPr>
                <w:rFonts w:ascii="Times New Roman" w:hAnsi="Times New Roman"/>
                <w:bCs/>
                <w:color w:val="000000"/>
                <w:spacing w:val="-11"/>
                <w:kern w:val="0"/>
                <w:sz w:val="20"/>
                <w:szCs w:val="20"/>
              </w:rPr>
              <w:t>.3</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评阅教师</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熟悉国家和地方关于交通工程领域的方针、政策与法规，能够合理分析与评价交通工程专业工程实践和复杂工程问题解决方案对社会、健康、安全、法律以及文化的影响，并理解应承担的责任。</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4</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（6</w:t>
            </w:r>
            <w:r>
              <w:rPr>
                <w:rFonts w:ascii="Times New Roman" w:hAnsi="Times New Roman"/>
                <w:bCs/>
                <w:color w:val="000000"/>
                <w:spacing w:val="-11"/>
                <w:kern w:val="0"/>
                <w:sz w:val="20"/>
                <w:szCs w:val="20"/>
              </w:rPr>
              <w:t>.3</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90" w:hRule="atLeast"/>
          <w:jc w:val="center"/>
        </w:trPr>
        <w:tc>
          <w:tcPr>
            <w:tcW w:w="53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答辩组</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lang w:val="zh-CN"/>
              </w:rPr>
            </w:pPr>
            <w:r>
              <w:rPr>
                <w:rFonts w:hint="eastAsia" w:ascii="Times New Roman" w:hAnsi="Times New Roman"/>
                <w:bCs/>
                <w:color w:val="000000"/>
                <w:spacing w:val="-11"/>
                <w:kern w:val="0"/>
                <w:sz w:val="20"/>
                <w:szCs w:val="20"/>
                <w:lang w:val="zh-CN"/>
              </w:rPr>
              <w:t>针对毕业设计（论文）的任务，在注重工程方案可行性之外，能够合理分析与评价交通工程复杂问题的解决方案对社会、健康、安全、法律以及文化的影响，并理解应承担的责任</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4</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bCs/>
                <w:color w:val="000000"/>
                <w:spacing w:val="-11"/>
                <w:kern w:val="0"/>
                <w:sz w:val="20"/>
                <w:szCs w:val="20"/>
              </w:rPr>
            </w:pPr>
            <w:r>
              <w:rPr>
                <w:rFonts w:hint="eastAsia" w:ascii="Times New Roman" w:hAnsi="Times New Roman"/>
                <w:bCs/>
                <w:color w:val="000000"/>
                <w:spacing w:val="-11"/>
                <w:kern w:val="0"/>
                <w:sz w:val="20"/>
                <w:szCs w:val="20"/>
              </w:rPr>
              <w:t>（6</w:t>
            </w:r>
            <w:r>
              <w:rPr>
                <w:rFonts w:ascii="Times New Roman" w:hAnsi="Times New Roman"/>
                <w:bCs/>
                <w:color w:val="000000"/>
                <w:spacing w:val="-11"/>
                <w:kern w:val="0"/>
                <w:sz w:val="20"/>
                <w:szCs w:val="20"/>
              </w:rPr>
              <w:t>.3</w:t>
            </w:r>
            <w:r>
              <w:rPr>
                <w:rFonts w:hint="eastAsia" w:ascii="Times New Roman" w:hAnsi="Times New Roman"/>
                <w:bCs/>
                <w:color w:val="000000"/>
                <w:spacing w:val="-11"/>
                <w:kern w:val="0"/>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708" w:hRule="atLeast"/>
          <w:jc w:val="center"/>
        </w:trPr>
        <w:tc>
          <w:tcPr>
            <w:tcW w:w="53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文稿设计及撰写能力</w:t>
            </w: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sz w:val="20"/>
                <w:szCs w:val="20"/>
              </w:rPr>
              <w:t>评阅教师</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bCs/>
                <w:color w:val="000000"/>
                <w:spacing w:val="-11"/>
                <w:kern w:val="0"/>
                <w:sz w:val="20"/>
                <w:szCs w:val="20"/>
              </w:rPr>
            </w:pPr>
            <w:r>
              <w:rPr>
                <w:rFonts w:hint="eastAsia" w:ascii="Times New Roman" w:hAnsi="Times New Roman"/>
                <w:color w:val="000000"/>
                <w:spacing w:val="-11"/>
                <w:sz w:val="20"/>
                <w:szCs w:val="20"/>
              </w:rPr>
              <w:t>设计（论文）结构严谨，逻辑性强，语言文字表准确流畅，格式、图、表规范，理论分析和计算正确，有一定的学术水平或实际工程应用价值，能够良好的撰写报告和设计文稿。</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ascii="Times New Roman" w:hAnsi="Times New Roman"/>
                <w:color w:val="000000"/>
                <w:spacing w:val="-11"/>
                <w:sz w:val="20"/>
                <w:szCs w:val="20"/>
              </w:rPr>
              <w:t>5</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（1</w:t>
            </w:r>
            <w:r>
              <w:rPr>
                <w:rFonts w:ascii="Times New Roman" w:hAnsi="Times New Roman"/>
                <w:color w:val="000000"/>
                <w:spacing w:val="-11"/>
                <w:sz w:val="20"/>
                <w:szCs w:val="20"/>
              </w:rPr>
              <w:t>0.1</w:t>
            </w:r>
            <w:r>
              <w:rPr>
                <w:rFonts w:hint="eastAsia" w:ascii="Times New Roman" w:hAnsi="Times New Roman"/>
                <w:color w:val="000000"/>
                <w:spacing w:val="-11"/>
                <w:sz w:val="20"/>
                <w:szCs w:val="20"/>
              </w:rPr>
              <w:t>）</w:t>
            </w:r>
          </w:p>
        </w:tc>
      </w:tr>
      <w:tr>
        <w:tblPrEx>
          <w:tblBorders>
            <w:top w:val="single" w:color="1D1B11" w:sz="8" w:space="0"/>
            <w:left w:val="single" w:color="1D1B11" w:sz="8" w:space="0"/>
            <w:bottom w:val="single" w:color="1D1B11" w:sz="8" w:space="0"/>
            <w:right w:val="single" w:color="1D1B11" w:sz="8" w:space="0"/>
            <w:insideH w:val="single" w:color="808080" w:sz="4" w:space="0"/>
            <w:insideV w:val="single" w:color="808080" w:sz="4" w:space="0"/>
          </w:tblBorders>
          <w:tblCellMar>
            <w:top w:w="0" w:type="dxa"/>
            <w:left w:w="108" w:type="dxa"/>
            <w:bottom w:w="0" w:type="dxa"/>
            <w:right w:w="108" w:type="dxa"/>
          </w:tblCellMar>
        </w:tblPrEx>
        <w:trPr>
          <w:trHeight w:val="708" w:hRule="atLeast"/>
          <w:jc w:val="center"/>
        </w:trPr>
        <w:tc>
          <w:tcPr>
            <w:tcW w:w="53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沟通和协调能力</w:t>
            </w:r>
          </w:p>
        </w:tc>
        <w:tc>
          <w:tcPr>
            <w:tcW w:w="36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sz w:val="20"/>
                <w:szCs w:val="20"/>
              </w:rPr>
            </w:pPr>
            <w:r>
              <w:rPr>
                <w:rFonts w:hint="eastAsia"/>
                <w:sz w:val="20"/>
                <w:szCs w:val="20"/>
              </w:rPr>
              <w:t>答辩组</w:t>
            </w:r>
          </w:p>
        </w:tc>
        <w:tc>
          <w:tcPr>
            <w:tcW w:w="36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能够针对毕业设计（论文）内容进行个人汇报，陈述得当，重点突出，条理清晰，语言简练、准确，表述流畅。学生就交通工程建设等方面的复杂工程问题具备与业界同行及社会公众进行有效沟通和交流，具备良好的沟通和协调能力。</w:t>
            </w:r>
          </w:p>
        </w:tc>
        <w:tc>
          <w:tcPr>
            <w:tcW w:w="5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5</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color w:val="000000"/>
                <w:spacing w:val="-11"/>
                <w:sz w:val="20"/>
                <w:szCs w:val="20"/>
              </w:rPr>
            </w:pPr>
            <w:r>
              <w:rPr>
                <w:rFonts w:hint="eastAsia" w:ascii="Times New Roman" w:hAnsi="Times New Roman"/>
                <w:color w:val="000000"/>
                <w:spacing w:val="-11"/>
                <w:sz w:val="20"/>
                <w:szCs w:val="20"/>
              </w:rPr>
              <w:t>（9</w:t>
            </w:r>
            <w:r>
              <w:rPr>
                <w:rFonts w:ascii="Times New Roman" w:hAnsi="Times New Roman"/>
                <w:color w:val="000000"/>
                <w:spacing w:val="-11"/>
                <w:sz w:val="20"/>
                <w:szCs w:val="20"/>
              </w:rPr>
              <w:t>.1</w:t>
            </w:r>
            <w:r>
              <w:rPr>
                <w:rFonts w:hint="eastAsia" w:ascii="Times New Roman" w:hAnsi="Times New Roman"/>
                <w:color w:val="000000"/>
                <w:spacing w:val="-11"/>
                <w:sz w:val="20"/>
                <w:szCs w:val="20"/>
              </w:rPr>
              <w:t>）</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after="312" w:afterLines="100" w:line="400" w:lineRule="exact"/>
        <w:jc w:val="center"/>
        <w:textAlignment w:val="auto"/>
        <w:rPr>
          <w:rFonts w:hint="eastAsia" w:ascii="Times New Roman" w:hAnsi="Times New Roman" w:eastAsia="方正小标宋简体"/>
          <w:bCs/>
          <w:sz w:val="36"/>
          <w:szCs w:val="36"/>
          <w:lang w:val="en-US" w:eastAsia="zh-CN"/>
        </w:rPr>
      </w:pPr>
      <w:r>
        <w:rPr>
          <w:rFonts w:hint="eastAsia" w:ascii="Times New Roman" w:hAnsi="Times New Roman" w:eastAsia="方正小标宋简体"/>
          <w:bCs/>
          <w:sz w:val="36"/>
          <w:szCs w:val="36"/>
        </w:rPr>
        <w:t>**专业本科毕业论文（设计）评价标准表</w:t>
      </w:r>
      <w:r>
        <w:rPr>
          <w:rFonts w:hint="eastAsia" w:ascii="Times New Roman" w:hAnsi="Times New Roman" w:eastAsia="方正小标宋简体"/>
          <w:bCs/>
          <w:sz w:val="36"/>
          <w:szCs w:val="36"/>
          <w:lang w:val="en-US" w:eastAsia="zh-CN"/>
        </w:rPr>
        <w:t>示例</w:t>
      </w:r>
    </w:p>
    <w:p>
      <w:pPr>
        <w:keepNext w:val="0"/>
        <w:keepLines w:val="0"/>
        <w:pageBreakBefore w:val="0"/>
        <w:widowControl w:val="0"/>
        <w:tabs>
          <w:tab w:val="left" w:pos="1080"/>
        </w:tabs>
        <w:kinsoku/>
        <w:wordWrap/>
        <w:overflowPunct/>
        <w:topLinePunct w:val="0"/>
        <w:autoSpaceDE/>
        <w:autoSpaceDN/>
        <w:bidi w:val="0"/>
        <w:adjustRightInd w:val="0"/>
        <w:snapToGrid w:val="0"/>
        <w:spacing w:line="240" w:lineRule="atLeast"/>
        <w:jc w:val="left"/>
        <w:textAlignment w:val="auto"/>
        <w:rPr>
          <w:rFonts w:ascii="宋体" w:hAnsi="宋体" w:cs="宋体"/>
          <w:szCs w:val="21"/>
        </w:rPr>
      </w:pPr>
      <w:r>
        <w:rPr>
          <w:rFonts w:hint="eastAsia" w:ascii="宋体" w:hAnsi="宋体" w:cs="宋体"/>
          <w:szCs w:val="21"/>
        </w:rPr>
        <w:t>注：</w:t>
      </w:r>
      <w:r>
        <w:rPr>
          <w:rFonts w:hint="eastAsia" w:ascii="宋体" w:hAnsi="宋体" w:cs="宋体"/>
          <w:szCs w:val="21"/>
          <w:lang w:val="en-US" w:eastAsia="zh-CN"/>
        </w:rPr>
        <w:t>各</w:t>
      </w:r>
      <w:r>
        <w:rPr>
          <w:rFonts w:hint="eastAsia" w:ascii="宋体" w:hAnsi="宋体" w:cs="宋体"/>
          <w:szCs w:val="21"/>
        </w:rPr>
        <w:t>专业根据本专业特点，制定相应的评价标准和评分细则。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6674E"/>
    <w:multiLevelType w:val="multilevel"/>
    <w:tmpl w:val="AC56674E"/>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pStyle w:val="2"/>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NzUyMTk3NmM4YmFmNzNmNDQzMDBhZTYzMjI0MTAifQ=="/>
  </w:docVars>
  <w:rsids>
    <w:rsidRoot w:val="33CD4B7A"/>
    <w:rsid w:val="161664AE"/>
    <w:rsid w:val="2B17710F"/>
    <w:rsid w:val="33CD4B7A"/>
    <w:rsid w:val="7D9B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6"/>
    <w:semiHidden/>
    <w:unhideWhenUsed/>
    <w:qFormat/>
    <w:uiPriority w:val="0"/>
    <w:pPr>
      <w:keepNext/>
      <w:keepLines/>
      <w:numPr>
        <w:ilvl w:val="2"/>
        <w:numId w:val="1"/>
      </w:numPr>
      <w:spacing w:before="140" w:after="140" w:line="400" w:lineRule="exact"/>
      <w:ind w:left="1259"/>
      <w:outlineLvl w:val="2"/>
    </w:pPr>
    <w:rPr>
      <w:rFonts w:ascii="Times New Roman" w:hAnsi="Times New Roman" w:eastAsia="宋体" w:cs="Times New Roman"/>
      <w:bCs/>
      <w:sz w:val="24"/>
      <w:szCs w:val="32"/>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customStyle="1" w:styleId="6">
    <w:name w:val="标题 3 Char"/>
    <w:basedOn w:val="5"/>
    <w:link w:val="2"/>
    <w:qFormat/>
    <w:uiPriority w:val="9"/>
    <w:rPr>
      <w:rFonts w:ascii="Times New Roman" w:hAnsi="Times New Roman" w:eastAsia="宋体" w:cs="Times New Roman"/>
      <w:bCs/>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1480</Words>
  <Characters>1515</Characters>
  <Lines>0</Lines>
  <Paragraphs>0</Paragraphs>
  <TotalTime>1</TotalTime>
  <ScaleCrop>false</ScaleCrop>
  <LinksUpToDate>false</LinksUpToDate>
  <CharactersWithSpaces>1515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2021-10-12T00:28:00Z</dcterms:created>
  <dc:creator>Lenovo</dc:creator>
  <cp:lastModifiedBy>闻雯</cp:lastModifiedBy>
  <dcterms:modified xsi:type="dcterms:W3CDTF">2022-10-25T01:16:38Z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A76E97D0155649A1B37A948B177AA100</vt:lpwstr>
  </property>
</Properties>
</file>